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F93" w:rsidRPr="007E4F93" w:rsidRDefault="007E4F93" w:rsidP="007E4F93">
      <w:pPr>
        <w:pageBreakBefore/>
        <w:shd w:val="clear" w:color="auto" w:fill="002060"/>
        <w:spacing w:after="200" w:line="276" w:lineRule="auto"/>
        <w:ind w:right="-285"/>
        <w:jc w:val="center"/>
        <w:outlineLvl w:val="0"/>
        <w:rPr>
          <w:rFonts w:ascii="Calibri" w:eastAsia="SimSun" w:hAnsi="Calibri"/>
          <w:b/>
          <w:color w:val="FFFFFF"/>
        </w:rPr>
      </w:pPr>
      <w:r w:rsidRPr="007E4F93">
        <w:rPr>
          <w:rFonts w:ascii="Calibri" w:eastAsia="SimSun" w:hAnsi="Calibri"/>
          <w:b/>
          <w:color w:val="FFFFFF"/>
          <w:u w:val="single"/>
        </w:rPr>
        <w:t>Target 12.3</w:t>
      </w:r>
      <w:r w:rsidRPr="007E4F93">
        <w:rPr>
          <w:rFonts w:ascii="Calibri" w:eastAsia="SimSun" w:hAnsi="Calibri"/>
          <w:b/>
          <w:color w:val="FFFFFF"/>
        </w:rPr>
        <w:t xml:space="preserve"> </w:t>
      </w:r>
      <w:r w:rsidRPr="007E4F93">
        <w:rPr>
          <w:rFonts w:ascii="Calibri" w:eastAsia="SimSun" w:hAnsi="Calibri"/>
          <w:b/>
          <w:color w:val="FFFFFF"/>
        </w:rPr>
        <w:br/>
        <w:t>“By 2030, halve per capita global food waste at the retail and consumer levels and reduce food losses along production and supply chains, including post-harvest losses”</w:t>
      </w:r>
    </w:p>
    <w:p w:rsidR="007E4F93" w:rsidRPr="007E4F93" w:rsidRDefault="007E4F93" w:rsidP="007E4F93">
      <w:pPr>
        <w:shd w:val="clear" w:color="auto" w:fill="FFFFFF"/>
        <w:spacing w:after="200" w:line="276" w:lineRule="auto"/>
        <w:ind w:right="-285"/>
        <w:jc w:val="center"/>
        <w:rPr>
          <w:rFonts w:eastAsia="SimSun" w:cs="Calibri"/>
          <w:color w:val="00000A"/>
          <w:szCs w:val="22"/>
        </w:rPr>
      </w:pPr>
    </w:p>
    <w:bookmarkStart w:id="0" w:name="Indicator_12_3_1"/>
    <w:p w:rsidR="007E4F93" w:rsidRPr="007E4F93" w:rsidRDefault="007E4F93" w:rsidP="007E4F93">
      <w:pPr>
        <w:shd w:val="clear" w:color="auto" w:fill="99FF99"/>
        <w:spacing w:after="200" w:line="276" w:lineRule="auto"/>
        <w:ind w:right="-285"/>
        <w:jc w:val="center"/>
        <w:rPr>
          <w:rFonts w:ascii="Calibri" w:eastAsia="SimSun" w:hAnsi="Calibri"/>
          <w:b/>
          <w:color w:val="auto"/>
        </w:rPr>
      </w:pPr>
      <w:r w:rsidRPr="007E4F93">
        <w:rPr>
          <w:rFonts w:eastAsia="SimSun" w:cs="Calibri"/>
          <w:color w:val="auto"/>
          <w:szCs w:val="22"/>
        </w:rPr>
        <w:fldChar w:fldCharType="begin"/>
      </w:r>
      <w:r w:rsidRPr="007E4F93">
        <w:rPr>
          <w:rFonts w:eastAsia="SimSun" w:cs="Calibri"/>
          <w:color w:val="auto"/>
          <w:szCs w:val="22"/>
        </w:rPr>
        <w:instrText>HYPERLINK \l "List_of_indicators"</w:instrText>
      </w:r>
      <w:r w:rsidRPr="007E4F93">
        <w:rPr>
          <w:rFonts w:eastAsia="SimSun" w:cs="Calibri"/>
          <w:color w:val="auto"/>
          <w:szCs w:val="22"/>
        </w:rPr>
        <w:fldChar w:fldCharType="separate"/>
      </w:r>
      <w:r w:rsidRPr="007E4F93">
        <w:rPr>
          <w:rFonts w:ascii="Calibri" w:eastAsia="SimSun" w:hAnsi="Calibri"/>
          <w:b/>
          <w:color w:val="auto"/>
        </w:rPr>
        <w:t>Indicator 12.3.1</w:t>
      </w:r>
      <w:r w:rsidRPr="007E4F93">
        <w:rPr>
          <w:rFonts w:eastAsia="SimSun" w:cs="Calibri"/>
          <w:color w:val="auto"/>
          <w:szCs w:val="22"/>
        </w:rPr>
        <w:fldChar w:fldCharType="end"/>
      </w:r>
      <w:r w:rsidRPr="007E4F93">
        <w:rPr>
          <w:rFonts w:ascii="Calibri" w:eastAsia="SimSun" w:hAnsi="Calibri"/>
          <w:b/>
          <w:color w:val="auto"/>
        </w:rPr>
        <w:t xml:space="preserve"> (</w:t>
      </w:r>
      <w:bookmarkEnd w:id="0"/>
      <w:r w:rsidRPr="007E4F93">
        <w:rPr>
          <w:rFonts w:ascii="Calibri" w:eastAsia="SimSun" w:hAnsi="Calibri"/>
          <w:b/>
          <w:color w:val="auto"/>
        </w:rPr>
        <w:t>Core</w:t>
      </w:r>
      <w:proofErr w:type="gramStart"/>
      <w:r w:rsidRPr="007E4F93">
        <w:rPr>
          <w:rFonts w:ascii="Calibri" w:eastAsia="SimSun" w:hAnsi="Calibri"/>
          <w:b/>
          <w:color w:val="auto"/>
        </w:rPr>
        <w:t>)</w:t>
      </w:r>
      <w:proofErr w:type="gramEnd"/>
      <w:r w:rsidRPr="007E4F93">
        <w:rPr>
          <w:rFonts w:ascii="Calibri" w:eastAsia="SimSun" w:hAnsi="Calibri"/>
          <w:b/>
          <w:color w:val="auto"/>
        </w:rPr>
        <w:br/>
        <w:t>“</w:t>
      </w:r>
      <w:r w:rsidRPr="007E4F93">
        <w:rPr>
          <w:rFonts w:ascii="Calibri" w:eastAsia="SimSun" w:hAnsi="Calibri"/>
          <w:color w:val="auto"/>
        </w:rPr>
        <w:t>Global Food Loss Index</w:t>
      </w:r>
      <w:r w:rsidRPr="007E4F93">
        <w:rPr>
          <w:rFonts w:ascii="Calibri" w:eastAsia="SimSun" w:hAnsi="Calibri"/>
          <w:b/>
          <w:color w:val="auto"/>
        </w:rPr>
        <w:t>”</w:t>
      </w:r>
    </w:p>
    <w:p w:rsidR="007E4F93" w:rsidRPr="007E4F93" w:rsidRDefault="007E4F93" w:rsidP="007E4F93">
      <w:pPr>
        <w:keepNext/>
        <w:numPr>
          <w:ilvl w:val="0"/>
          <w:numId w:val="3"/>
        </w:numPr>
        <w:suppressAutoHyphens/>
        <w:spacing w:before="480" w:after="200" w:line="276" w:lineRule="auto"/>
        <w:ind w:right="-285"/>
        <w:outlineLvl w:val="2"/>
        <w:rPr>
          <w:rFonts w:ascii="Calibri" w:eastAsia="Times New Roman" w:hAnsi="Calibri"/>
          <w:b/>
          <w:bCs/>
          <w:color w:val="auto"/>
          <w:sz w:val="22"/>
          <w:szCs w:val="22"/>
        </w:rPr>
      </w:pPr>
      <w:r w:rsidRPr="007E4F93">
        <w:rPr>
          <w:rFonts w:ascii="Calibri" w:eastAsia="Times New Roman" w:hAnsi="Calibri"/>
          <w:b/>
          <w:bCs/>
          <w:iCs/>
          <w:color w:val="auto"/>
          <w:sz w:val="22"/>
          <w:szCs w:val="22"/>
        </w:rPr>
        <w:t>Precise</w:t>
      </w:r>
      <w:r w:rsidRPr="007E4F93">
        <w:rPr>
          <w:rFonts w:ascii="Calibri" w:eastAsia="Times New Roman" w:hAnsi="Calibri"/>
          <w:b/>
          <w:bCs/>
          <w:color w:val="auto"/>
          <w:sz w:val="22"/>
          <w:szCs w:val="22"/>
        </w:rPr>
        <w:t xml:space="preserve"> definition of the indicator</w:t>
      </w:r>
    </w:p>
    <w:p w:rsidR="007E4F93" w:rsidRPr="007E4F93" w:rsidRDefault="007E4F93" w:rsidP="007E4F93">
      <w:pPr>
        <w:spacing w:after="120" w:line="276" w:lineRule="auto"/>
        <w:ind w:right="-285"/>
        <w:jc w:val="both"/>
        <w:rPr>
          <w:rFonts w:ascii="Calibri" w:eastAsia="Calibri" w:hAnsi="Calibri"/>
          <w:color w:val="auto"/>
          <w:sz w:val="22"/>
          <w:szCs w:val="22"/>
        </w:rPr>
      </w:pPr>
      <w:r w:rsidRPr="007E4F93">
        <w:rPr>
          <w:rFonts w:ascii="Calibri" w:eastAsia="Calibri" w:hAnsi="Calibri"/>
          <w:color w:val="auto"/>
          <w:sz w:val="22"/>
          <w:szCs w:val="22"/>
        </w:rPr>
        <w:t xml:space="preserve">The indicator measures the totality of losses occurring from the time at which production of an agricultural product is recorded until it reaches the final consumer as food. </w:t>
      </w:r>
    </w:p>
    <w:p w:rsidR="007E4F93" w:rsidRPr="007E4F93" w:rsidRDefault="007E4F93" w:rsidP="007E4F93">
      <w:pPr>
        <w:spacing w:after="120" w:line="276" w:lineRule="auto"/>
        <w:ind w:right="-285"/>
        <w:jc w:val="both"/>
        <w:rPr>
          <w:rFonts w:ascii="Calibri" w:eastAsia="Calibri" w:hAnsi="Calibri"/>
          <w:color w:val="auto"/>
          <w:sz w:val="22"/>
          <w:szCs w:val="22"/>
        </w:rPr>
      </w:pPr>
      <w:r w:rsidRPr="007E4F93">
        <w:rPr>
          <w:rFonts w:ascii="Calibri" w:eastAsia="Calibri" w:hAnsi="Calibri"/>
          <w:color w:val="auto"/>
          <w:sz w:val="22"/>
          <w:szCs w:val="22"/>
        </w:rPr>
        <w:t xml:space="preserve">While calculated on a quantity basis, it is subsequently transformed to dietary energy supplies (in kcal) per capita allowing consistent aggregation and then indexed. </w:t>
      </w:r>
    </w:p>
    <w:p w:rsidR="007E4F93" w:rsidRPr="007E4F93" w:rsidRDefault="007E4F93" w:rsidP="007E4F93">
      <w:pPr>
        <w:spacing w:after="120" w:line="276" w:lineRule="auto"/>
        <w:ind w:right="-285"/>
        <w:jc w:val="both"/>
        <w:rPr>
          <w:rFonts w:ascii="Calibri" w:eastAsia="Calibri" w:hAnsi="Calibri"/>
          <w:color w:val="auto"/>
          <w:sz w:val="22"/>
          <w:szCs w:val="22"/>
        </w:rPr>
      </w:pPr>
      <w:r w:rsidRPr="007E4F93">
        <w:rPr>
          <w:rFonts w:ascii="Calibri" w:eastAsia="Calibri" w:hAnsi="Calibri"/>
          <w:color w:val="auto"/>
          <w:sz w:val="22"/>
          <w:szCs w:val="22"/>
        </w:rPr>
        <w:t xml:space="preserve">The indicator will be calculated on an annual frequency broken down by country and commodity. </w:t>
      </w:r>
    </w:p>
    <w:p w:rsidR="007E4F93" w:rsidRPr="007E4F93" w:rsidRDefault="007E4F93" w:rsidP="007E4F93">
      <w:pPr>
        <w:numPr>
          <w:ilvl w:val="0"/>
          <w:numId w:val="2"/>
        </w:numPr>
        <w:suppressAutoHyphens/>
        <w:spacing w:before="480" w:after="200" w:line="276" w:lineRule="auto"/>
        <w:ind w:left="714" w:right="-285" w:hanging="357"/>
        <w:rPr>
          <w:rFonts w:ascii="Calibri" w:eastAsia="Times New Roman" w:hAnsi="Calibri"/>
          <w:b/>
          <w:bCs/>
          <w:color w:val="auto"/>
          <w:sz w:val="22"/>
          <w:szCs w:val="22"/>
        </w:rPr>
      </w:pPr>
      <w:r w:rsidRPr="007E4F93">
        <w:rPr>
          <w:rFonts w:ascii="Calibri" w:eastAsia="Times New Roman" w:hAnsi="Calibri"/>
          <w:b/>
          <w:bCs/>
          <w:color w:val="auto"/>
          <w:sz w:val="22"/>
          <w:szCs w:val="22"/>
        </w:rPr>
        <w:t>How is the indicator linked to the specific TARGET as worded in the OWG Report?</w:t>
      </w:r>
    </w:p>
    <w:p w:rsidR="007E4F93" w:rsidRPr="007E4F93" w:rsidRDefault="007E4F93" w:rsidP="007E4F93">
      <w:pPr>
        <w:spacing w:after="120" w:line="276" w:lineRule="auto"/>
        <w:ind w:right="-285"/>
        <w:jc w:val="both"/>
        <w:rPr>
          <w:rFonts w:ascii="Calibri" w:eastAsia="Calibri" w:hAnsi="Calibri"/>
          <w:color w:val="auto"/>
          <w:sz w:val="22"/>
          <w:szCs w:val="22"/>
        </w:rPr>
      </w:pPr>
      <w:r w:rsidRPr="007E4F93">
        <w:rPr>
          <w:rFonts w:ascii="Calibri" w:eastAsia="Calibri" w:hAnsi="Calibri"/>
          <w:color w:val="auto"/>
          <w:sz w:val="22"/>
          <w:szCs w:val="22"/>
        </w:rPr>
        <w:t xml:space="preserve">The indicator provides evidence on most aspects of the object of the SDG target above. However, in contrast to the objective of the SDG target, it does not take into account losses occurring at the consumer level. Specifically, it provides evidence on the amount which is lost from the food </w:t>
      </w:r>
      <w:r w:rsidRPr="007E4F93">
        <w:rPr>
          <w:rFonts w:ascii="Calibri" w:eastAsia="Calibri" w:hAnsi="Calibri"/>
          <w:i/>
          <w:color w:val="auto"/>
          <w:sz w:val="22"/>
          <w:szCs w:val="22"/>
        </w:rPr>
        <w:t>available</w:t>
      </w:r>
      <w:r w:rsidRPr="007E4F93">
        <w:rPr>
          <w:rFonts w:ascii="Calibri" w:eastAsia="Calibri" w:hAnsi="Calibri"/>
          <w:color w:val="auto"/>
          <w:sz w:val="22"/>
          <w:szCs w:val="22"/>
        </w:rPr>
        <w:t xml:space="preserve"> to private households, rather than from the food </w:t>
      </w:r>
      <w:r w:rsidRPr="007E4F93">
        <w:rPr>
          <w:rFonts w:ascii="Calibri" w:eastAsia="Calibri" w:hAnsi="Calibri"/>
          <w:i/>
          <w:color w:val="auto"/>
          <w:sz w:val="22"/>
          <w:szCs w:val="22"/>
        </w:rPr>
        <w:t>actually consumed</w:t>
      </w:r>
      <w:r w:rsidRPr="007E4F93">
        <w:rPr>
          <w:rFonts w:ascii="Calibri" w:eastAsia="Calibri" w:hAnsi="Calibri"/>
          <w:color w:val="auto"/>
          <w:sz w:val="22"/>
          <w:szCs w:val="22"/>
        </w:rPr>
        <w:t xml:space="preserve"> by them. </w:t>
      </w:r>
    </w:p>
    <w:p w:rsidR="007E4F93" w:rsidRPr="007E4F93" w:rsidRDefault="007E4F93" w:rsidP="007E4F93">
      <w:pPr>
        <w:spacing w:after="120" w:line="276" w:lineRule="auto"/>
        <w:ind w:right="-285"/>
        <w:jc w:val="both"/>
        <w:rPr>
          <w:rFonts w:ascii="Calibri" w:eastAsia="Calibri" w:hAnsi="Calibri"/>
          <w:color w:val="auto"/>
          <w:sz w:val="22"/>
          <w:szCs w:val="22"/>
        </w:rPr>
      </w:pPr>
      <w:r w:rsidRPr="007E4F93">
        <w:rPr>
          <w:rFonts w:ascii="Calibri" w:eastAsia="Calibri" w:hAnsi="Calibri"/>
          <w:color w:val="auto"/>
          <w:sz w:val="22"/>
          <w:szCs w:val="22"/>
        </w:rPr>
        <w:t>Therefore, the indicator is sensitive, for example, to enhancements in supply-chain infrastructure, while it is insensitive to changes in the private households’ efforts to use food more efficiently or to their equipment with refrigerators.</w:t>
      </w:r>
    </w:p>
    <w:p w:rsidR="007E4F93" w:rsidRPr="007E4F93" w:rsidRDefault="007E4F93" w:rsidP="007E4F93">
      <w:pPr>
        <w:numPr>
          <w:ilvl w:val="0"/>
          <w:numId w:val="2"/>
        </w:numPr>
        <w:suppressAutoHyphens/>
        <w:spacing w:before="480" w:after="200" w:line="276" w:lineRule="auto"/>
        <w:ind w:left="714" w:right="-285" w:hanging="357"/>
        <w:rPr>
          <w:rFonts w:ascii="Calibri" w:eastAsia="Times New Roman" w:hAnsi="Calibri"/>
          <w:b/>
          <w:bCs/>
          <w:color w:val="auto"/>
          <w:sz w:val="22"/>
          <w:szCs w:val="22"/>
        </w:rPr>
      </w:pPr>
      <w:r w:rsidRPr="007E4F93">
        <w:rPr>
          <w:rFonts w:ascii="Calibri" w:eastAsia="Times New Roman" w:hAnsi="Calibri"/>
          <w:b/>
          <w:bCs/>
          <w:color w:val="auto"/>
          <w:sz w:val="22"/>
          <w:szCs w:val="22"/>
        </w:rPr>
        <w:t>Does the indicator already exist and is it regularly reported?</w:t>
      </w:r>
    </w:p>
    <w:p w:rsidR="007E4F93" w:rsidRPr="007E4F93" w:rsidRDefault="007E4F93" w:rsidP="007E4F93">
      <w:pPr>
        <w:spacing w:after="120" w:line="276" w:lineRule="auto"/>
        <w:ind w:right="-285"/>
        <w:rPr>
          <w:rFonts w:ascii="Calibri" w:eastAsia="Times New Roman" w:hAnsi="Calibri"/>
          <w:b/>
          <w:bCs/>
          <w:color w:val="auto"/>
          <w:sz w:val="22"/>
          <w:szCs w:val="22"/>
        </w:rPr>
      </w:pPr>
      <w:r w:rsidRPr="007E4F93">
        <w:rPr>
          <w:rFonts w:ascii="Calibri" w:eastAsia="Calibri" w:hAnsi="Calibri"/>
          <w:color w:val="auto"/>
          <w:sz w:val="22"/>
          <w:szCs w:val="22"/>
        </w:rPr>
        <w:t xml:space="preserve">The indicator has been developed and compiled, but further testing and validation is required before public release. </w:t>
      </w:r>
    </w:p>
    <w:p w:rsidR="007E4F93" w:rsidRPr="007E4F93" w:rsidRDefault="007E4F93" w:rsidP="007E4F93">
      <w:pPr>
        <w:spacing w:after="120" w:line="276" w:lineRule="auto"/>
        <w:ind w:right="-285"/>
        <w:jc w:val="both"/>
        <w:rPr>
          <w:rFonts w:ascii="Calibri" w:eastAsia="Calibri" w:hAnsi="Calibri"/>
          <w:color w:val="auto"/>
          <w:sz w:val="22"/>
          <w:szCs w:val="22"/>
        </w:rPr>
      </w:pPr>
      <w:r w:rsidRPr="007E4F93">
        <w:rPr>
          <w:rFonts w:ascii="Calibri" w:eastAsia="Calibri" w:hAnsi="Calibri"/>
          <w:color w:val="auto"/>
          <w:sz w:val="22"/>
          <w:szCs w:val="22"/>
        </w:rPr>
        <w:t xml:space="preserve">The costs of measuring losses directly and regularly, for example in surveys, are prohibitive. Therefore, the indicator is primarily model-based. It will be compiled on a regular basis as part of the Food Balance Sheets in FAOSTAT. </w:t>
      </w:r>
    </w:p>
    <w:p w:rsidR="007E4F93" w:rsidRPr="007E4F93" w:rsidRDefault="007E4F93" w:rsidP="007E4F93">
      <w:pPr>
        <w:spacing w:after="120" w:line="276" w:lineRule="auto"/>
        <w:ind w:right="-285"/>
        <w:jc w:val="both"/>
        <w:rPr>
          <w:rFonts w:ascii="Calibri" w:eastAsia="Calibri" w:hAnsi="Calibri"/>
          <w:color w:val="auto"/>
          <w:sz w:val="22"/>
          <w:szCs w:val="22"/>
        </w:rPr>
      </w:pPr>
      <w:r w:rsidRPr="007E4F93">
        <w:rPr>
          <w:rFonts w:ascii="Calibri" w:eastAsia="Calibri" w:hAnsi="Calibri"/>
          <w:color w:val="auto"/>
          <w:sz w:val="22"/>
          <w:szCs w:val="22"/>
        </w:rPr>
        <w:t>The calculation of the indicator relies on primary data collected from government agencies in the Agricultural Production Questionnaire or harvested from official publications and other sources. The model parameters are retrieved from the World Development Indicators database of the World Bank.</w:t>
      </w:r>
    </w:p>
    <w:p w:rsidR="007E4F93" w:rsidRPr="007E4F93" w:rsidRDefault="007E4F93" w:rsidP="007E4F93">
      <w:pPr>
        <w:spacing w:after="120" w:line="276" w:lineRule="auto"/>
        <w:ind w:right="-285"/>
        <w:jc w:val="both"/>
        <w:rPr>
          <w:rFonts w:ascii="Calibri" w:eastAsia="Calibri" w:hAnsi="Calibri"/>
          <w:color w:val="auto"/>
          <w:sz w:val="22"/>
          <w:szCs w:val="22"/>
        </w:rPr>
      </w:pPr>
      <w:r w:rsidRPr="007E4F93">
        <w:rPr>
          <w:rFonts w:ascii="Calibri" w:eastAsia="Calibri" w:hAnsi="Calibri"/>
          <w:color w:val="auto"/>
          <w:sz w:val="22"/>
          <w:szCs w:val="22"/>
        </w:rPr>
        <w:t xml:space="preserve">The coverage with primary data is lowest in Sub-Saharan Africa, North Africa and the Middle East. For sugar crops, tree nuts and milk the data are more difficult to obtain than for other types of commodities. </w:t>
      </w:r>
    </w:p>
    <w:p w:rsidR="007E4F93" w:rsidRPr="007E4F93" w:rsidRDefault="007E4F93" w:rsidP="007E4F93">
      <w:pPr>
        <w:spacing w:after="120" w:line="276" w:lineRule="auto"/>
        <w:ind w:right="-285"/>
        <w:jc w:val="both"/>
        <w:rPr>
          <w:rFonts w:ascii="Calibri" w:eastAsia="Calibri" w:hAnsi="Calibri"/>
          <w:color w:val="auto"/>
          <w:sz w:val="22"/>
          <w:szCs w:val="22"/>
        </w:rPr>
      </w:pPr>
      <w:r w:rsidRPr="007E4F93">
        <w:rPr>
          <w:rFonts w:ascii="Calibri" w:eastAsia="Calibri" w:hAnsi="Calibri"/>
          <w:color w:val="auto"/>
          <w:sz w:val="22"/>
          <w:szCs w:val="22"/>
        </w:rPr>
        <w:lastRenderedPageBreak/>
        <w:t>The accuracy of the estimates could be improved by investments into the statistical capacities for the assessment of losses at national level, probably in the scope of the Global Strategy, as well as into work on further improvements of the model.</w:t>
      </w:r>
    </w:p>
    <w:p w:rsidR="007E4F93" w:rsidRPr="007E4F93" w:rsidRDefault="007E4F93" w:rsidP="007E4F93">
      <w:pPr>
        <w:numPr>
          <w:ilvl w:val="0"/>
          <w:numId w:val="2"/>
        </w:numPr>
        <w:suppressAutoHyphens/>
        <w:spacing w:before="480" w:after="200" w:line="276" w:lineRule="auto"/>
        <w:ind w:left="714" w:right="-285" w:hanging="357"/>
        <w:rPr>
          <w:rFonts w:ascii="Calibri" w:eastAsia="Times New Roman" w:hAnsi="Calibri"/>
          <w:b/>
          <w:bCs/>
          <w:color w:val="auto"/>
          <w:sz w:val="22"/>
          <w:szCs w:val="22"/>
        </w:rPr>
      </w:pPr>
      <w:r w:rsidRPr="007E4F93">
        <w:rPr>
          <w:rFonts w:ascii="Calibri" w:eastAsia="Times New Roman" w:hAnsi="Calibri"/>
          <w:b/>
          <w:bCs/>
          <w:color w:val="auto"/>
          <w:sz w:val="22"/>
          <w:szCs w:val="22"/>
        </w:rPr>
        <w:t>Comment on the reliability, potential coverage, comparability across countries, and the possibility to compute the indicator at sub-national level.</w:t>
      </w:r>
    </w:p>
    <w:p w:rsidR="007E4F93" w:rsidRPr="007E4F93" w:rsidRDefault="007E4F93" w:rsidP="007E4F93">
      <w:pPr>
        <w:spacing w:line="276" w:lineRule="auto"/>
        <w:ind w:left="714" w:right="-285"/>
        <w:rPr>
          <w:rFonts w:ascii="Calibri" w:eastAsia="Times New Roman" w:hAnsi="Calibri"/>
          <w:b/>
          <w:bCs/>
          <w:color w:val="auto"/>
          <w:sz w:val="22"/>
          <w:szCs w:val="22"/>
        </w:rPr>
      </w:pPr>
    </w:p>
    <w:p w:rsidR="007E4F93" w:rsidRPr="007E4F93" w:rsidRDefault="007E4F93" w:rsidP="007E4F93">
      <w:pPr>
        <w:spacing w:after="200" w:line="276" w:lineRule="auto"/>
        <w:ind w:right="-285"/>
        <w:rPr>
          <w:rFonts w:ascii="Calibri" w:eastAsia="Calibri" w:hAnsi="Calibri"/>
          <w:color w:val="auto"/>
          <w:sz w:val="22"/>
          <w:szCs w:val="22"/>
          <w:u w:val="single"/>
        </w:rPr>
      </w:pPr>
      <w:r w:rsidRPr="007E4F93">
        <w:rPr>
          <w:rFonts w:ascii="Calibri" w:eastAsia="Calibri" w:hAnsi="Calibri"/>
          <w:color w:val="auto"/>
          <w:sz w:val="22"/>
          <w:szCs w:val="22"/>
          <w:u w:val="single"/>
        </w:rPr>
        <w:t>Reliability</w:t>
      </w:r>
    </w:p>
    <w:p w:rsidR="007E4F93" w:rsidRPr="007E4F93" w:rsidRDefault="007E4F93" w:rsidP="007E4F93">
      <w:pPr>
        <w:spacing w:after="200" w:line="276" w:lineRule="auto"/>
        <w:ind w:right="-285"/>
        <w:jc w:val="both"/>
        <w:rPr>
          <w:rFonts w:ascii="Calibri" w:eastAsia="Calibri" w:hAnsi="Calibri"/>
          <w:color w:val="auto"/>
          <w:sz w:val="22"/>
          <w:szCs w:val="22"/>
        </w:rPr>
      </w:pPr>
      <w:r w:rsidRPr="007E4F93">
        <w:rPr>
          <w:rFonts w:ascii="Calibri" w:eastAsia="Calibri" w:hAnsi="Calibri"/>
          <w:color w:val="auto"/>
          <w:sz w:val="22"/>
          <w:szCs w:val="22"/>
        </w:rPr>
        <w:t>The accuracy of the indicator is difficult to assess, as the measurement error of the primary data collected from countries, which adds to the error made in the estimation by the model, cannot be quantified. Our preliminary comparison of predicted and observed losses makes us confident that our estimates are not systematically biased.</w:t>
      </w:r>
    </w:p>
    <w:p w:rsidR="007E4F93" w:rsidRPr="007E4F93" w:rsidRDefault="007E4F93" w:rsidP="007E4F93">
      <w:pPr>
        <w:spacing w:after="200" w:line="276" w:lineRule="auto"/>
        <w:ind w:right="-285"/>
        <w:jc w:val="both"/>
        <w:rPr>
          <w:rFonts w:ascii="Calibri" w:eastAsia="Calibri" w:hAnsi="Calibri"/>
          <w:color w:val="auto"/>
          <w:sz w:val="22"/>
          <w:szCs w:val="22"/>
          <w:u w:val="single"/>
        </w:rPr>
      </w:pPr>
      <w:r w:rsidRPr="007E4F93">
        <w:rPr>
          <w:rFonts w:ascii="Calibri" w:eastAsia="Calibri" w:hAnsi="Calibri"/>
          <w:color w:val="auto"/>
          <w:sz w:val="22"/>
          <w:szCs w:val="22"/>
          <w:u w:val="single"/>
        </w:rPr>
        <w:t>Coverage</w:t>
      </w:r>
    </w:p>
    <w:p w:rsidR="007E4F93" w:rsidRPr="007E4F93" w:rsidRDefault="007E4F93" w:rsidP="007E4F93">
      <w:pPr>
        <w:spacing w:after="200" w:line="276" w:lineRule="auto"/>
        <w:ind w:right="-285"/>
        <w:jc w:val="both"/>
        <w:rPr>
          <w:rFonts w:ascii="Calibri" w:eastAsia="Calibri" w:hAnsi="Calibri"/>
          <w:color w:val="auto"/>
          <w:sz w:val="22"/>
          <w:szCs w:val="22"/>
        </w:rPr>
      </w:pPr>
      <w:r w:rsidRPr="007E4F93">
        <w:rPr>
          <w:rFonts w:ascii="Calibri" w:eastAsia="Calibri" w:hAnsi="Calibri"/>
          <w:color w:val="auto"/>
          <w:sz w:val="22"/>
          <w:szCs w:val="22"/>
        </w:rPr>
        <w:t>The indicator can be compiled annually for the 177 countries for which Food Balance Sheets are produced.</w:t>
      </w:r>
    </w:p>
    <w:p w:rsidR="007E4F93" w:rsidRPr="007E4F93" w:rsidRDefault="007E4F93" w:rsidP="007E4F93">
      <w:pPr>
        <w:spacing w:after="200" w:line="276" w:lineRule="auto"/>
        <w:ind w:right="-285"/>
        <w:jc w:val="both"/>
        <w:rPr>
          <w:rFonts w:ascii="Calibri" w:eastAsia="Calibri" w:hAnsi="Calibri"/>
          <w:color w:val="auto"/>
          <w:sz w:val="22"/>
          <w:szCs w:val="22"/>
          <w:u w:val="single"/>
        </w:rPr>
      </w:pPr>
      <w:r w:rsidRPr="007E4F93">
        <w:rPr>
          <w:rFonts w:ascii="Calibri" w:eastAsia="Calibri" w:hAnsi="Calibri"/>
          <w:color w:val="auto"/>
          <w:sz w:val="22"/>
          <w:szCs w:val="22"/>
          <w:u w:val="single"/>
        </w:rPr>
        <w:t>Comparability</w:t>
      </w:r>
    </w:p>
    <w:p w:rsidR="007E4F93" w:rsidRPr="007E4F93" w:rsidRDefault="007E4F93" w:rsidP="007E4F93">
      <w:pPr>
        <w:spacing w:after="200" w:line="276" w:lineRule="auto"/>
        <w:ind w:right="-285"/>
        <w:jc w:val="both"/>
        <w:rPr>
          <w:rFonts w:ascii="Calibri" w:eastAsia="Calibri" w:hAnsi="Calibri"/>
          <w:color w:val="auto"/>
          <w:sz w:val="22"/>
          <w:szCs w:val="22"/>
        </w:rPr>
      </w:pPr>
      <w:r w:rsidRPr="007E4F93">
        <w:rPr>
          <w:rFonts w:ascii="Calibri" w:eastAsia="Calibri" w:hAnsi="Calibri"/>
          <w:color w:val="auto"/>
          <w:sz w:val="22"/>
          <w:szCs w:val="22"/>
        </w:rPr>
        <w:t>The indicator will be calculated on the basis of a standard definition and common methodology for each country in each year. However, the accuracy of the estimates will vary across countries as a result of differences in the availability and quality of the source data.</w:t>
      </w:r>
    </w:p>
    <w:p w:rsidR="007E4F93" w:rsidRPr="007E4F93" w:rsidRDefault="007E4F93" w:rsidP="007E4F93">
      <w:pPr>
        <w:spacing w:after="200" w:line="276" w:lineRule="auto"/>
        <w:ind w:right="-285"/>
        <w:jc w:val="both"/>
        <w:rPr>
          <w:rFonts w:ascii="Calibri" w:eastAsia="Calibri" w:hAnsi="Calibri"/>
          <w:color w:val="auto"/>
          <w:sz w:val="22"/>
          <w:szCs w:val="22"/>
          <w:u w:val="single"/>
        </w:rPr>
      </w:pPr>
      <w:r w:rsidRPr="007E4F93">
        <w:rPr>
          <w:rFonts w:ascii="Calibri" w:eastAsia="Calibri" w:hAnsi="Calibri"/>
          <w:color w:val="auto"/>
          <w:sz w:val="22"/>
          <w:szCs w:val="22"/>
          <w:u w:val="single"/>
        </w:rPr>
        <w:t>Sub-national estimates</w:t>
      </w:r>
    </w:p>
    <w:p w:rsidR="007E4F93" w:rsidRPr="007E4F93" w:rsidRDefault="007E4F93" w:rsidP="007E4F93">
      <w:pPr>
        <w:spacing w:after="200" w:line="276" w:lineRule="auto"/>
        <w:ind w:right="-285"/>
        <w:jc w:val="both"/>
        <w:rPr>
          <w:rFonts w:ascii="Calibri" w:eastAsia="Calibri" w:hAnsi="Calibri"/>
          <w:color w:val="auto"/>
          <w:sz w:val="22"/>
          <w:szCs w:val="22"/>
        </w:rPr>
      </w:pPr>
      <w:r w:rsidRPr="007E4F93">
        <w:rPr>
          <w:rFonts w:ascii="Calibri" w:eastAsia="Calibri" w:hAnsi="Calibri"/>
          <w:color w:val="auto"/>
          <w:sz w:val="22"/>
          <w:szCs w:val="22"/>
        </w:rPr>
        <w:t>Sub-national estimates will not be available.</w:t>
      </w:r>
    </w:p>
    <w:p w:rsidR="007E4F93" w:rsidRPr="007E4F93" w:rsidRDefault="007E4F93" w:rsidP="007E4F93">
      <w:pPr>
        <w:spacing w:after="200" w:line="276" w:lineRule="auto"/>
        <w:ind w:right="-285"/>
        <w:rPr>
          <w:rFonts w:ascii="Calibri" w:eastAsia="SimSun" w:hAnsi="Calibri"/>
          <w:color w:val="auto"/>
          <w:sz w:val="22"/>
          <w:szCs w:val="22"/>
          <w:lang w:eastAsia="en-GB"/>
        </w:rPr>
      </w:pPr>
    </w:p>
    <w:p w:rsidR="0035634B" w:rsidRPr="007E4F93" w:rsidRDefault="0035634B" w:rsidP="007E4F93">
      <w:pPr>
        <w:ind w:right="-285"/>
        <w:rPr>
          <w:rFonts w:ascii="Calibri" w:eastAsia="Constantia" w:hAnsi="Calibri" w:cs="Consolas"/>
          <w:b/>
          <w:bCs/>
          <w:color w:val="auto"/>
          <w:sz w:val="28"/>
          <w:szCs w:val="28"/>
        </w:rPr>
      </w:pPr>
      <w:bookmarkStart w:id="1" w:name="_GoBack"/>
      <w:bookmarkEnd w:id="1"/>
    </w:p>
    <w:sectPr w:rsidR="0035634B" w:rsidRPr="007E4F9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tantia">
    <w:panose1 w:val="02030602050306030303"/>
    <w:charset w:val="00"/>
    <w:family w:val="roman"/>
    <w:pitch w:val="variable"/>
    <w:sig w:usb0="A00002EF" w:usb1="4000204B"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262BD2"/>
    <w:multiLevelType w:val="hybridMultilevel"/>
    <w:tmpl w:val="C19C0810"/>
    <w:lvl w:ilvl="0" w:tplc="B096E15E">
      <w:start w:val="1"/>
      <w:numFmt w:val="decimal"/>
      <w:pStyle w:val="Heading31"/>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F93"/>
    <w:rsid w:val="0035634B"/>
    <w:rsid w:val="00374D74"/>
    <w:rsid w:val="007E4F93"/>
    <w:rsid w:val="00AC1AA0"/>
    <w:rsid w:val="00F72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customStyle="1" w:styleId="Heading31">
    <w:name w:val="Heading 31"/>
    <w:basedOn w:val="ListParagraph"/>
    <w:next w:val="Normal"/>
    <w:uiPriority w:val="9"/>
    <w:unhideWhenUsed/>
    <w:qFormat/>
    <w:rsid w:val="007E4F93"/>
    <w:pPr>
      <w:keepNext/>
      <w:numPr>
        <w:numId w:val="1"/>
      </w:numPr>
      <w:spacing w:after="200" w:line="276" w:lineRule="auto"/>
      <w:ind w:left="360"/>
      <w:contextualSpacing w:val="0"/>
      <w:outlineLvl w:val="2"/>
    </w:pPr>
    <w:rPr>
      <w:rFonts w:ascii="Calibri" w:eastAsia="SimSun" w:hAnsi="Calibri"/>
      <w:b/>
      <w:color w:val="auto"/>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customStyle="1" w:styleId="Heading31">
    <w:name w:val="Heading 31"/>
    <w:basedOn w:val="ListParagraph"/>
    <w:next w:val="Normal"/>
    <w:uiPriority w:val="9"/>
    <w:unhideWhenUsed/>
    <w:qFormat/>
    <w:rsid w:val="007E4F93"/>
    <w:pPr>
      <w:keepNext/>
      <w:numPr>
        <w:numId w:val="1"/>
      </w:numPr>
      <w:spacing w:after="200" w:line="276" w:lineRule="auto"/>
      <w:ind w:left="360"/>
      <w:contextualSpacing w:val="0"/>
      <w:outlineLvl w:val="2"/>
    </w:pPr>
    <w:rPr>
      <w:rFonts w:ascii="Calibri" w:eastAsia="SimSun" w:hAnsi="Calibri"/>
      <w:b/>
      <w:color w:val="auto"/>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3569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2015-09-22T13:31:00Z</dcterms:created>
  <dcterms:modified xsi:type="dcterms:W3CDTF">2015-09-22T13:32:00Z</dcterms:modified>
</cp:coreProperties>
</file>